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AE04AF" w:rsidP="00CD534E">
      <w:pPr>
        <w:spacing w:after="0" w:line="480" w:lineRule="auto"/>
        <w:jc w:val="center"/>
        <w:rPr>
          <w:rFonts w:ascii="Times New Roman" w:hAnsi="Times New Roman" w:cs="Times New Roman"/>
          <w:sz w:val="24"/>
          <w:szCs w:val="24"/>
        </w:rPr>
      </w:pPr>
    </w:p>
    <w:p w:rsidR="00AE04AF" w:rsidP="00CD534E">
      <w:pPr>
        <w:spacing w:after="0" w:line="480" w:lineRule="auto"/>
        <w:jc w:val="center"/>
        <w:rPr>
          <w:rFonts w:ascii="Times New Roman" w:hAnsi="Times New Roman" w:cs="Times New Roman"/>
          <w:sz w:val="24"/>
          <w:szCs w:val="24"/>
        </w:rPr>
      </w:pPr>
    </w:p>
    <w:p w:rsidR="00AE04AF" w:rsidP="00CD534E">
      <w:pPr>
        <w:spacing w:after="0" w:line="480" w:lineRule="auto"/>
        <w:jc w:val="center"/>
        <w:rPr>
          <w:rFonts w:ascii="Times New Roman" w:hAnsi="Times New Roman" w:cs="Times New Roman"/>
          <w:sz w:val="24"/>
          <w:szCs w:val="24"/>
        </w:rPr>
      </w:pPr>
    </w:p>
    <w:p w:rsidR="00AE04AF" w:rsidP="00CD534E">
      <w:pPr>
        <w:spacing w:after="0" w:line="480" w:lineRule="auto"/>
        <w:jc w:val="center"/>
        <w:rPr>
          <w:rFonts w:ascii="Times New Roman" w:hAnsi="Times New Roman" w:cs="Times New Roman"/>
          <w:sz w:val="24"/>
          <w:szCs w:val="24"/>
        </w:rPr>
      </w:pPr>
    </w:p>
    <w:p w:rsidR="00AE04AF" w:rsidP="00CD534E">
      <w:pPr>
        <w:spacing w:after="0" w:line="480" w:lineRule="auto"/>
        <w:jc w:val="center"/>
        <w:rPr>
          <w:rFonts w:ascii="Times New Roman" w:hAnsi="Times New Roman" w:cs="Times New Roman"/>
          <w:sz w:val="24"/>
          <w:szCs w:val="24"/>
        </w:rPr>
      </w:pPr>
    </w:p>
    <w:p w:rsidR="00A63B99" w:rsidP="00CD534E">
      <w:pPr>
        <w:spacing w:after="0" w:line="480" w:lineRule="auto"/>
        <w:jc w:val="center"/>
        <w:rPr>
          <w:rFonts w:ascii="Times New Roman" w:hAnsi="Times New Roman" w:cs="Times New Roman"/>
          <w:sz w:val="24"/>
          <w:szCs w:val="24"/>
        </w:rPr>
      </w:pPr>
    </w:p>
    <w:p w:rsidR="00A63B99" w:rsidP="00CD534E">
      <w:pPr>
        <w:spacing w:after="0" w:line="480" w:lineRule="auto"/>
        <w:jc w:val="center"/>
        <w:rPr>
          <w:rFonts w:ascii="Times New Roman" w:hAnsi="Times New Roman" w:cs="Times New Roman"/>
          <w:sz w:val="24"/>
          <w:szCs w:val="24"/>
        </w:rPr>
      </w:pPr>
    </w:p>
    <w:p w:rsidR="00CD534E" w:rsidRPr="006722F9" w:rsidP="00CD534E">
      <w:pPr>
        <w:spacing w:after="0" w:line="480" w:lineRule="auto"/>
        <w:jc w:val="center"/>
        <w:rPr>
          <w:rFonts w:ascii="Times New Roman" w:hAnsi="Times New Roman" w:cs="Times New Roman"/>
          <w:sz w:val="24"/>
          <w:szCs w:val="24"/>
        </w:rPr>
      </w:pPr>
      <w:r w:rsidRPr="006722F9">
        <w:rPr>
          <w:rFonts w:ascii="Times New Roman" w:hAnsi="Times New Roman" w:cs="Times New Roman"/>
          <w:sz w:val="24"/>
          <w:szCs w:val="24"/>
        </w:rPr>
        <w:t>Non-Verbal Communication in Sports</w:t>
      </w:r>
    </w:p>
    <w:p w:rsidR="00CD534E" w:rsidP="00CD53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D534E" w:rsidP="00CD53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D534E" w:rsidP="00CD53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D534E" w:rsidP="00CD53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63B99">
        <w:rPr>
          <w:rFonts w:ascii="Times New Roman" w:hAnsi="Times New Roman" w:cs="Times New Roman"/>
          <w:sz w:val="24"/>
          <w:szCs w:val="24"/>
        </w:rPr>
        <w:t>s</w:t>
      </w:r>
    </w:p>
    <w:p w:rsidR="00CD534E" w:rsidP="00A63B9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A63B99">
        <w:rPr>
          <w:rFonts w:ascii="Times New Roman" w:hAnsi="Times New Roman" w:cs="Times New Roman"/>
          <w:sz w:val="24"/>
          <w:szCs w:val="24"/>
        </w:rPr>
        <w:t xml:space="preserve"> of Submission</w:t>
      </w:r>
    </w:p>
    <w:p w:rsidR="00A63B99" w:rsidP="00CD53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722F9" w:rsidRPr="006722F9" w:rsidP="00CD534E">
      <w:pPr>
        <w:spacing w:after="0" w:line="480" w:lineRule="auto"/>
        <w:jc w:val="center"/>
        <w:rPr>
          <w:rFonts w:ascii="Times New Roman" w:hAnsi="Times New Roman" w:cs="Times New Roman"/>
          <w:sz w:val="24"/>
          <w:szCs w:val="24"/>
        </w:rPr>
      </w:pPr>
      <w:r w:rsidRPr="006722F9">
        <w:rPr>
          <w:rFonts w:ascii="Times New Roman" w:hAnsi="Times New Roman" w:cs="Times New Roman"/>
          <w:sz w:val="24"/>
          <w:szCs w:val="24"/>
        </w:rPr>
        <w:t>Non-Verbal Communication in Sports</w:t>
      </w:r>
    </w:p>
    <w:p w:rsidR="006722F9" w:rsidRPr="00CD534E" w:rsidP="00CD534E">
      <w:pPr>
        <w:spacing w:after="0" w:line="480" w:lineRule="auto"/>
        <w:jc w:val="center"/>
        <w:rPr>
          <w:rFonts w:ascii="Times New Roman" w:hAnsi="Times New Roman" w:cs="Times New Roman"/>
          <w:b/>
          <w:sz w:val="24"/>
          <w:szCs w:val="24"/>
        </w:rPr>
      </w:pPr>
      <w:r w:rsidRPr="00CD534E">
        <w:rPr>
          <w:rFonts w:ascii="Times New Roman" w:hAnsi="Times New Roman" w:cs="Times New Roman"/>
          <w:b/>
          <w:sz w:val="24"/>
          <w:szCs w:val="24"/>
        </w:rPr>
        <w:t>Introduction</w:t>
      </w:r>
    </w:p>
    <w:p w:rsidR="006722F9" w:rsidRPr="006722F9" w:rsidP="00CD534E">
      <w:pPr>
        <w:spacing w:after="0" w:line="480" w:lineRule="auto"/>
        <w:ind w:firstLine="720"/>
        <w:rPr>
          <w:rFonts w:ascii="Times New Roman" w:hAnsi="Times New Roman" w:cs="Times New Roman"/>
          <w:sz w:val="24"/>
          <w:szCs w:val="24"/>
        </w:rPr>
      </w:pPr>
      <w:r w:rsidRPr="006722F9">
        <w:rPr>
          <w:rFonts w:ascii="Times New Roman" w:hAnsi="Times New Roman" w:cs="Times New Roman"/>
          <w:sz w:val="24"/>
          <w:szCs w:val="24"/>
        </w:rPr>
        <w:t xml:space="preserve">Communication involves every aspect of people’s lives. It represents a large field of interest for different people including researchers. However, the concept of communication in a sports environment can be understood through different factors which range from individual aptitude to the socio-cultural environment in which it occurs as well as the institutional surrounding where people communicate. The experiences that people have acquired through education, the way they have been raised, the culture they have grown in and other experiences that they have had generally influence the personality they develop into the person they become. Having understood all that, it is important to understand how non-verbal communication plays in the sports environment. This literature review provides an analysis of how non-verbal communication is manifested in a sports environment. </w:t>
      </w:r>
    </w:p>
    <w:p w:rsidR="006722F9" w:rsidRPr="00CD534E" w:rsidP="00CD534E">
      <w:pPr>
        <w:spacing w:after="0" w:line="480" w:lineRule="auto"/>
        <w:jc w:val="center"/>
        <w:rPr>
          <w:rFonts w:ascii="Times New Roman" w:hAnsi="Times New Roman" w:cs="Times New Roman"/>
          <w:b/>
          <w:sz w:val="24"/>
          <w:szCs w:val="24"/>
        </w:rPr>
      </w:pPr>
      <w:r w:rsidRPr="00CD534E">
        <w:rPr>
          <w:rFonts w:ascii="Times New Roman" w:hAnsi="Times New Roman" w:cs="Times New Roman"/>
          <w:b/>
          <w:sz w:val="24"/>
          <w:szCs w:val="24"/>
        </w:rPr>
        <w:t>Literature Review</w:t>
      </w:r>
    </w:p>
    <w:p w:rsidR="006722F9" w:rsidRPr="006722F9" w:rsidP="00CD534E">
      <w:pPr>
        <w:spacing w:after="0" w:line="480" w:lineRule="auto"/>
        <w:ind w:firstLine="720"/>
        <w:rPr>
          <w:rFonts w:ascii="Times New Roman" w:hAnsi="Times New Roman" w:cs="Times New Roman"/>
          <w:sz w:val="24"/>
          <w:szCs w:val="24"/>
        </w:rPr>
      </w:pPr>
      <w:r w:rsidRPr="006722F9">
        <w:rPr>
          <w:rFonts w:ascii="Times New Roman" w:hAnsi="Times New Roman" w:cs="Times New Roman"/>
          <w:sz w:val="24"/>
          <w:szCs w:val="24"/>
        </w:rPr>
        <w:t xml:space="preserve">Communication forms a critical part of society. According to Zamfir (2017), communication plays a critical role in any group. He believes that communication processes form the foundation of any society. In his opinion, communication refers to the change of information that occurs between two or more people (Zamfir, 2017). There are two main forms of communication, verbal and non-verbal. As Dobrescu (2014) explains most often research has focused on verbal communication, leaving out the critical role that non-verbal communication. As a result, many people cannot interpret non-verbal communication, especially with the fact that such communication is influenced by many things. Despite this misunderstanding, people interact with non-verbal communication in a sports environment often than they can imagine. For example, times one may be watching a game on television, and he or she hears the commentators </w:t>
      </w:r>
      <w:r w:rsidRPr="006722F9">
        <w:rPr>
          <w:rFonts w:ascii="Times New Roman" w:hAnsi="Times New Roman" w:cs="Times New Roman"/>
          <w:sz w:val="24"/>
          <w:szCs w:val="24"/>
        </w:rPr>
        <w:t xml:space="preserve">speaking about the teams and how they are behaving. For instance, one may listen to the commentator saying that looking at the other side one can tell that they are giving up. This means that the commentator interprets their body language to know that that team has been dominated. However, to be able to interpret this, one must be able to understand how non-verbal expressions depict the emotions that are not spoken but an observer can tell. </w:t>
      </w:r>
    </w:p>
    <w:p w:rsidR="006722F9" w:rsidRPr="006722F9" w:rsidP="00CD534E">
      <w:pPr>
        <w:spacing w:after="0" w:line="480" w:lineRule="auto"/>
        <w:ind w:firstLine="720"/>
        <w:rPr>
          <w:rFonts w:ascii="Times New Roman" w:hAnsi="Times New Roman" w:cs="Times New Roman"/>
          <w:sz w:val="24"/>
          <w:szCs w:val="24"/>
        </w:rPr>
      </w:pPr>
      <w:r w:rsidRPr="006722F9">
        <w:rPr>
          <w:rFonts w:ascii="Times New Roman" w:hAnsi="Times New Roman" w:cs="Times New Roman"/>
          <w:sz w:val="24"/>
          <w:szCs w:val="24"/>
        </w:rPr>
        <w:t xml:space="preserve"> Furley and Schweizer (2014) explain the role of nonverbal communication in expressing people’s emotions. Based on Charles Darwin’s theory Furley and Schweizer (2014) explain that the expression of emotions plays two primary roles; first, to enable the individual to respond adaptively to the recurring conditions and secondly, to communicate important information. Further, the authors assert that nonverbal communication does not only depict emotions, but it also helps in communicating behavioral intentions (Furley &amp; Schweizer, 2014). Similarly, Dobrescu (2014) also believes that nonverbal communication is a fundamental type of psychosocial interact which provides finality to the individual’s intentions, desires, and attitudes. </w:t>
      </w:r>
    </w:p>
    <w:p w:rsidR="006722F9" w:rsidRPr="006722F9" w:rsidP="00CD534E">
      <w:pPr>
        <w:spacing w:after="0" w:line="480" w:lineRule="auto"/>
        <w:ind w:firstLine="720"/>
        <w:rPr>
          <w:rFonts w:ascii="Times New Roman" w:hAnsi="Times New Roman" w:cs="Times New Roman"/>
          <w:sz w:val="24"/>
          <w:szCs w:val="24"/>
        </w:rPr>
      </w:pPr>
      <w:r w:rsidRPr="006722F9">
        <w:rPr>
          <w:rFonts w:ascii="Times New Roman" w:hAnsi="Times New Roman" w:cs="Times New Roman"/>
          <w:sz w:val="24"/>
          <w:szCs w:val="24"/>
        </w:rPr>
        <w:t xml:space="preserve">In the context of sports, nonverbal communication serves as a connection between the athletes, the coaches, and the spectators. According to Dobrescu (2014), sports mediate individuals’ relationship with different participants in the sporting activity such as coordinators, the athletes themselves and the commentators. In an attempt to examine the role of nonverbal communication, Dobrescu researched a training process. Based on the sociological approach, the author found that the most common way of expressing oneself in a sports environment, especially during the training process is through nonverbal communication (Dobrescu, 2014). In his study, Dobrescu noted that athletes expressed their emotions during the training process through gestures of illustrations. Zamfir (2017) also noted that in a sports environment, </w:t>
      </w:r>
      <w:r w:rsidRPr="006722F9">
        <w:rPr>
          <w:rFonts w:ascii="Times New Roman" w:hAnsi="Times New Roman" w:cs="Times New Roman"/>
          <w:sz w:val="24"/>
          <w:szCs w:val="24"/>
        </w:rPr>
        <w:t xml:space="preserve">communication is always a critical component in the process of optimization of the performance, especially during the games. </w:t>
      </w:r>
    </w:p>
    <w:p w:rsidR="006722F9" w:rsidRPr="006722F9" w:rsidP="00CD534E">
      <w:pPr>
        <w:spacing w:after="0" w:line="480" w:lineRule="auto"/>
        <w:ind w:firstLine="720"/>
        <w:rPr>
          <w:rFonts w:ascii="Times New Roman" w:hAnsi="Times New Roman" w:cs="Times New Roman"/>
          <w:sz w:val="24"/>
          <w:szCs w:val="24"/>
        </w:rPr>
      </w:pPr>
      <w:r w:rsidRPr="006722F9">
        <w:rPr>
          <w:rFonts w:ascii="Times New Roman" w:hAnsi="Times New Roman" w:cs="Times New Roman"/>
          <w:sz w:val="24"/>
          <w:szCs w:val="24"/>
        </w:rPr>
        <w:t xml:space="preserve">Nonverbal communication can be effective during training and games. When players are in the field playing, they are able to communicate and interact with the spectators and other people within the sports environment through nonverbal cues. Research shows that it is possible for spectators to interpret the emotions expressed by the players even if they do not understand that game. While examining the effectiveness of nonverbal communication in a sports environment, Furley and Schweizer (2014) conducted a study to determine whether spectators who are inexperienced in a certain game could notice the leading and trailing teams during the basketball and table tennis games. In their study, the authors found that the inexperienced perceivers could not note the trailing and leading teams based on slight nonverbal cues that they noted. According to Furley and Schweizer (2014), even children have the ability to interpret the nonverbal cues. </w:t>
      </w:r>
    </w:p>
    <w:p w:rsidR="006722F9" w:rsidRPr="006722F9" w:rsidP="00CD534E">
      <w:pPr>
        <w:spacing w:after="0" w:line="480" w:lineRule="auto"/>
        <w:ind w:firstLine="720"/>
        <w:rPr>
          <w:rFonts w:ascii="Times New Roman" w:hAnsi="Times New Roman" w:cs="Times New Roman"/>
          <w:sz w:val="24"/>
          <w:szCs w:val="24"/>
        </w:rPr>
      </w:pPr>
      <w:r w:rsidRPr="006722F9">
        <w:rPr>
          <w:rFonts w:ascii="Times New Roman" w:hAnsi="Times New Roman" w:cs="Times New Roman"/>
          <w:sz w:val="24"/>
          <w:szCs w:val="24"/>
        </w:rPr>
        <w:t xml:space="preserve">However, nonverbal communication is influenced by numerous factors, which range from a sociocultural environment to the individual aptitude. In their study, Furley and Schweizer (2014) noted that both nature and nurture significantly influenced the nonverbal encoding and decoding processes, especially among the children. Based on their findings, it is possible that the experiences that one acquires since the time they are born influence the way they perceive and interpret emotional situations (Furley &amp; Schweizer, 2014). These findings are supported by Shimazaki and Kikkawa’s research which sought to examine the relationships between communication ability and coaching evaluation among coaches. In their study, the authors found that nonverbal communication was coherence with the individual’s personality. For instance, coaches who expressed negative nonverbal communication depicted negative types of nonverbal </w:t>
      </w:r>
      <w:r w:rsidRPr="006722F9">
        <w:rPr>
          <w:rFonts w:ascii="Times New Roman" w:hAnsi="Times New Roman" w:cs="Times New Roman"/>
          <w:sz w:val="24"/>
          <w:szCs w:val="24"/>
        </w:rPr>
        <w:t xml:space="preserve">communication and vice versa (Shimazaki &amp; Kikkawa, 2015). This means that nonverbal communication cues can be influenced by nature and nurture processes. In their analysis of the relationship between the coaches’ leadership behavior and the use of nonverbal communication, the authors further noted that the leadership style reflected the individual’s personality and knowledge consistency within the person (Shimazaki &amp; Kikkawa, 2015). </w:t>
      </w:r>
    </w:p>
    <w:p w:rsidR="006722F9" w:rsidRPr="006722F9" w:rsidP="00CD534E">
      <w:pPr>
        <w:spacing w:after="0" w:line="480" w:lineRule="auto"/>
        <w:ind w:firstLine="720"/>
        <w:rPr>
          <w:rFonts w:ascii="Times New Roman" w:hAnsi="Times New Roman" w:cs="Times New Roman"/>
          <w:sz w:val="24"/>
          <w:szCs w:val="24"/>
        </w:rPr>
      </w:pPr>
      <w:r w:rsidRPr="006722F9">
        <w:rPr>
          <w:rFonts w:ascii="Times New Roman" w:hAnsi="Times New Roman" w:cs="Times New Roman"/>
          <w:sz w:val="24"/>
          <w:szCs w:val="24"/>
        </w:rPr>
        <w:t xml:space="preserve">Nonverbal communication cues can be easily misunderstood and misinterpreted if not used appropriately and in the right way. Despite the most common way of communication, many some people can misunderstand and misinterpret nonverbal communication because of the different factors which influence the use of these cues. According to Dobrescu (2014), during communication people respond 8% to words, 23% to intonation and about 69% to body language. But, people can easily misinterpret body language cues when used inappropriately. In a sporting event, people can interpret the nonverbal cues when they can interpret and understand them. Furley and Schweizer (2014) argue that during the game, spectators or perceivers can interpret whether a certain team is winning or losing based on nonverbal communication techniques. According to the authors, spectators who do not understand the principles of the game can follow the game and determine who is winning or losing by observing the behaviors depicted by the coaches or athletes (Furley &amp; Schweizer, 2014). </w:t>
      </w:r>
    </w:p>
    <w:p w:rsidR="006722F9" w:rsidRPr="006722F9" w:rsidP="00CD534E">
      <w:pPr>
        <w:spacing w:after="0" w:line="480" w:lineRule="auto"/>
        <w:ind w:firstLine="720"/>
        <w:rPr>
          <w:rFonts w:ascii="Times New Roman" w:hAnsi="Times New Roman" w:cs="Times New Roman"/>
          <w:sz w:val="24"/>
          <w:szCs w:val="24"/>
        </w:rPr>
      </w:pPr>
      <w:r w:rsidRPr="006722F9">
        <w:rPr>
          <w:rFonts w:ascii="Times New Roman" w:hAnsi="Times New Roman" w:cs="Times New Roman"/>
          <w:sz w:val="24"/>
          <w:szCs w:val="24"/>
        </w:rPr>
        <w:t xml:space="preserve">To understand and interpret the nonverbal communication well, one must possess the knowledge and master the processes of communications (Zamfir, 2017). Nonverbal communication is not only used by spectators to interpret the coaches' and athletes' behaviors,  but even athletes require such cues to communicate within the team and coordinate well during the game or training practices. Zamfir (2017) explains the importance of nonverbal communication in a sports environment, especially among athletes. According to the author, </w:t>
      </w:r>
      <w:r w:rsidRPr="006722F9">
        <w:rPr>
          <w:rFonts w:ascii="Times New Roman" w:hAnsi="Times New Roman" w:cs="Times New Roman"/>
          <w:sz w:val="24"/>
          <w:szCs w:val="24"/>
        </w:rPr>
        <w:t xml:space="preserve">some games like basketball requires complex communication. Such difficulties can be minimized or controlled by good mastery of the nonverbal communication skills (Zamfir, 2017). Since communication skills are critical and necessity for tactical interactions, athletes require to understand the nonverbal cues to enhance their success during sports competition. As Dobrescu (2014) explains, nonverbal communication involves the expression of energy and information through different ways including body posture, movement, and indices. </w:t>
      </w:r>
    </w:p>
    <w:p w:rsidR="006722F9" w:rsidRPr="006722F9" w:rsidP="00CD534E">
      <w:pPr>
        <w:spacing w:after="0" w:line="480" w:lineRule="auto"/>
        <w:ind w:firstLine="720"/>
        <w:rPr>
          <w:rFonts w:ascii="Times New Roman" w:hAnsi="Times New Roman" w:cs="Times New Roman"/>
          <w:sz w:val="24"/>
          <w:szCs w:val="24"/>
        </w:rPr>
      </w:pPr>
      <w:r w:rsidRPr="006722F9">
        <w:rPr>
          <w:rFonts w:ascii="Times New Roman" w:hAnsi="Times New Roman" w:cs="Times New Roman"/>
          <w:sz w:val="24"/>
          <w:szCs w:val="24"/>
        </w:rPr>
        <w:t xml:space="preserve">Everyone has a unique way of seeing or perceiving things and situations. Therefore, it would be difficult to have the same interpretation. Nonverbal communication can be expressed in different forms, which may mean different things according to different people or cultures. Zamfir (2017) explains some of the examples of nonverbal communication techniques that are commonly used to interpret people’s behavior, desires, intentions, and emotions. For instance, facial expression can express one’s amazement or shock. In a sporting event, one can determine whether the team is winning or losing based on the athletes’ or coaches’ facial expression. For instance, frowning may refer to dissatisfaction and smile on the face may mean satisfaction. </w:t>
      </w:r>
    </w:p>
    <w:p w:rsidR="006722F9" w:rsidRPr="006722F9" w:rsidP="00CD534E">
      <w:pPr>
        <w:spacing w:after="0" w:line="480" w:lineRule="auto"/>
        <w:ind w:firstLine="720"/>
        <w:rPr>
          <w:rFonts w:ascii="Times New Roman" w:hAnsi="Times New Roman" w:cs="Times New Roman"/>
          <w:sz w:val="24"/>
          <w:szCs w:val="24"/>
        </w:rPr>
      </w:pPr>
      <w:r w:rsidRPr="006722F9">
        <w:rPr>
          <w:rFonts w:ascii="Times New Roman" w:hAnsi="Times New Roman" w:cs="Times New Roman"/>
          <w:sz w:val="24"/>
          <w:szCs w:val="24"/>
        </w:rPr>
        <w:t xml:space="preserve">For many people, communication can only be achieved when a sound is produced. However, Zamfir (2014) tends to disagree with this citing that even silence can be a form of nonverbal communication. For him, silence can also be considered as an answer to a situation just like a sound. In the context of sports, when people cheer loudly, it can help someone who does not understand the game to know which side is winning and which side is losing. This can be depicted from Furley and Schweizer’s study where children could determine the side that loses a game, and the side that is was winning through the language of the body. </w:t>
      </w:r>
    </w:p>
    <w:p w:rsidR="006722F9" w:rsidRPr="00CD534E" w:rsidP="00CD534E">
      <w:pPr>
        <w:spacing w:after="0" w:line="480" w:lineRule="auto"/>
        <w:jc w:val="center"/>
        <w:rPr>
          <w:rFonts w:ascii="Times New Roman" w:hAnsi="Times New Roman" w:cs="Times New Roman"/>
          <w:b/>
          <w:sz w:val="24"/>
          <w:szCs w:val="24"/>
        </w:rPr>
      </w:pPr>
      <w:r w:rsidRPr="00CD534E">
        <w:rPr>
          <w:rFonts w:ascii="Times New Roman" w:hAnsi="Times New Roman" w:cs="Times New Roman"/>
          <w:b/>
          <w:sz w:val="24"/>
          <w:szCs w:val="24"/>
        </w:rPr>
        <w:t>Conclusion</w:t>
      </w:r>
      <w:bookmarkStart w:id="0" w:name="_GoBack"/>
      <w:bookmarkEnd w:id="0"/>
    </w:p>
    <w:p w:rsidR="00CD534E" w:rsidP="00A63B99">
      <w:pPr>
        <w:spacing w:after="0" w:line="480" w:lineRule="auto"/>
        <w:ind w:firstLine="720"/>
        <w:rPr>
          <w:rFonts w:ascii="Times New Roman" w:hAnsi="Times New Roman" w:cs="Times New Roman"/>
          <w:sz w:val="24"/>
          <w:szCs w:val="24"/>
        </w:rPr>
      </w:pPr>
      <w:r w:rsidRPr="006722F9">
        <w:rPr>
          <w:rFonts w:ascii="Times New Roman" w:hAnsi="Times New Roman" w:cs="Times New Roman"/>
          <w:sz w:val="24"/>
          <w:szCs w:val="24"/>
        </w:rPr>
        <w:t>Even though the nonverbal communication cues help people, especially in a sports environment to interpret behaviors, intentions, and desires of others, sometimes, most of the contents depicted through nonverbal techniques go undetected. To be able to interpret the nonverbal communication cues effectively, the perceiver must know and use the different types of nonverbal communication techniques appropriately. As demonstrated in the body of this literature review, the main method by which athletes and coaches demonstrated their emotions, intentions, and desires is through nonverbal communication. Through gesture illustrations, facial expression, and other hallmarks characterizing nonverbal communication, athletes and coaches can harmoniously and opportunistically communicate their feelings and intentions to the audience which include spectators, coordinators, and commentators.</w:t>
      </w:r>
    </w:p>
    <w:p w:rsidR="00A63B99" w:rsidP="00CD53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D534E" w:rsidP="00CD53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D534E" w:rsidRPr="00A318D8" w:rsidP="00CD534E">
      <w:pPr>
        <w:spacing w:after="0" w:line="480" w:lineRule="auto"/>
        <w:ind w:left="720" w:hanging="720"/>
        <w:rPr>
          <w:rFonts w:ascii="Times New Roman" w:hAnsi="Times New Roman" w:cs="Times New Roman"/>
          <w:color w:val="222222"/>
          <w:sz w:val="24"/>
          <w:szCs w:val="24"/>
          <w:shd w:val="clear" w:color="auto" w:fill="FFFFFF"/>
        </w:rPr>
      </w:pPr>
      <w:r w:rsidRPr="00A318D8">
        <w:rPr>
          <w:rFonts w:ascii="Times New Roman" w:hAnsi="Times New Roman" w:cs="Times New Roman"/>
          <w:color w:val="222222"/>
          <w:sz w:val="24"/>
          <w:szCs w:val="24"/>
          <w:shd w:val="clear" w:color="auto" w:fill="FFFFFF"/>
        </w:rPr>
        <w:t>Dobrescu, T. (2014). The role of non-verbal communication in the coach-athlete relationship. </w:t>
      </w:r>
      <w:r w:rsidRPr="00A318D8">
        <w:rPr>
          <w:rFonts w:ascii="Times New Roman" w:hAnsi="Times New Roman" w:cs="Times New Roman"/>
          <w:i/>
          <w:iCs/>
          <w:color w:val="222222"/>
          <w:sz w:val="24"/>
          <w:szCs w:val="24"/>
          <w:shd w:val="clear" w:color="auto" w:fill="FFFFFF"/>
        </w:rPr>
        <w:t>Procedia-Social and Behavioral Sciences</w:t>
      </w:r>
      <w:r w:rsidRPr="00A318D8">
        <w:rPr>
          <w:rFonts w:ascii="Times New Roman" w:hAnsi="Times New Roman" w:cs="Times New Roman"/>
          <w:color w:val="222222"/>
          <w:sz w:val="24"/>
          <w:szCs w:val="24"/>
          <w:shd w:val="clear" w:color="auto" w:fill="FFFFFF"/>
        </w:rPr>
        <w:t>, </w:t>
      </w:r>
      <w:r w:rsidRPr="00A318D8">
        <w:rPr>
          <w:rFonts w:ascii="Times New Roman" w:hAnsi="Times New Roman" w:cs="Times New Roman"/>
          <w:i/>
          <w:iCs/>
          <w:color w:val="222222"/>
          <w:sz w:val="24"/>
          <w:szCs w:val="24"/>
          <w:shd w:val="clear" w:color="auto" w:fill="FFFFFF"/>
        </w:rPr>
        <w:t>149</w:t>
      </w:r>
      <w:r w:rsidRPr="00A318D8">
        <w:rPr>
          <w:rFonts w:ascii="Times New Roman" w:hAnsi="Times New Roman" w:cs="Times New Roman"/>
          <w:color w:val="222222"/>
          <w:sz w:val="24"/>
          <w:szCs w:val="24"/>
          <w:shd w:val="clear" w:color="auto" w:fill="FFFFFF"/>
        </w:rPr>
        <w:t>, 286-291.</w:t>
      </w:r>
    </w:p>
    <w:p w:rsidR="00CD534E" w:rsidRPr="00A318D8" w:rsidP="00CD534E">
      <w:pPr>
        <w:spacing w:after="0" w:line="480" w:lineRule="auto"/>
        <w:ind w:left="720" w:hanging="720"/>
        <w:rPr>
          <w:rFonts w:ascii="Times New Roman" w:hAnsi="Times New Roman" w:cs="Times New Roman"/>
          <w:color w:val="222222"/>
          <w:sz w:val="24"/>
          <w:szCs w:val="24"/>
          <w:shd w:val="clear" w:color="auto" w:fill="FFFFFF"/>
        </w:rPr>
      </w:pPr>
      <w:r w:rsidRPr="00A318D8">
        <w:rPr>
          <w:rFonts w:ascii="Times New Roman" w:hAnsi="Times New Roman" w:cs="Times New Roman"/>
          <w:color w:val="222222"/>
          <w:sz w:val="24"/>
          <w:szCs w:val="24"/>
          <w:shd w:val="clear" w:color="auto" w:fill="FFFFFF"/>
        </w:rPr>
        <w:t>Furley, P., &amp; Schweizer, G. (2014). The expression of victory and loss: Estimating who’s leading or trailing from nonverbal cues in sports. </w:t>
      </w:r>
      <w:r w:rsidRPr="00A318D8">
        <w:rPr>
          <w:rFonts w:ascii="Times New Roman" w:hAnsi="Times New Roman" w:cs="Times New Roman"/>
          <w:i/>
          <w:iCs/>
          <w:color w:val="222222"/>
          <w:sz w:val="24"/>
          <w:szCs w:val="24"/>
          <w:shd w:val="clear" w:color="auto" w:fill="FFFFFF"/>
        </w:rPr>
        <w:t>Journal of Nonverbal Behavior</w:t>
      </w:r>
      <w:r w:rsidRPr="00A318D8">
        <w:rPr>
          <w:rFonts w:ascii="Times New Roman" w:hAnsi="Times New Roman" w:cs="Times New Roman"/>
          <w:color w:val="222222"/>
          <w:sz w:val="24"/>
          <w:szCs w:val="24"/>
          <w:shd w:val="clear" w:color="auto" w:fill="FFFFFF"/>
        </w:rPr>
        <w:t>, </w:t>
      </w:r>
      <w:r w:rsidRPr="00A318D8">
        <w:rPr>
          <w:rFonts w:ascii="Times New Roman" w:hAnsi="Times New Roman" w:cs="Times New Roman"/>
          <w:i/>
          <w:iCs/>
          <w:color w:val="222222"/>
          <w:sz w:val="24"/>
          <w:szCs w:val="24"/>
          <w:shd w:val="clear" w:color="auto" w:fill="FFFFFF"/>
        </w:rPr>
        <w:t>38</w:t>
      </w:r>
      <w:r w:rsidRPr="00A318D8">
        <w:rPr>
          <w:rFonts w:ascii="Times New Roman" w:hAnsi="Times New Roman" w:cs="Times New Roman"/>
          <w:color w:val="222222"/>
          <w:sz w:val="24"/>
          <w:szCs w:val="24"/>
          <w:shd w:val="clear" w:color="auto" w:fill="FFFFFF"/>
        </w:rPr>
        <w:t>(1), 13-29.</w:t>
      </w:r>
    </w:p>
    <w:p w:rsidR="00CD534E" w:rsidRPr="00A318D8" w:rsidP="00CD534E">
      <w:pPr>
        <w:spacing w:after="0" w:line="480" w:lineRule="auto"/>
        <w:ind w:left="720" w:hanging="720"/>
        <w:rPr>
          <w:rFonts w:ascii="Times New Roman" w:hAnsi="Times New Roman" w:cs="Times New Roman"/>
          <w:color w:val="222222"/>
          <w:sz w:val="24"/>
          <w:szCs w:val="24"/>
          <w:shd w:val="clear" w:color="auto" w:fill="FFFFFF"/>
        </w:rPr>
      </w:pPr>
      <w:r w:rsidRPr="00A318D8">
        <w:rPr>
          <w:rFonts w:ascii="Times New Roman" w:hAnsi="Times New Roman" w:cs="Times New Roman"/>
          <w:color w:val="222222"/>
          <w:sz w:val="24"/>
          <w:szCs w:val="24"/>
          <w:shd w:val="clear" w:color="auto" w:fill="FFFFFF"/>
        </w:rPr>
        <w:t>Shimazaki, T., &amp; Kikkawa, M. (2015). A Study of Nonverbal Communication by Coaches: Relationships between Communication Ability and Coaching Evaluation. </w:t>
      </w:r>
      <w:r w:rsidRPr="00A318D8">
        <w:rPr>
          <w:rFonts w:ascii="Times New Roman" w:hAnsi="Times New Roman" w:cs="Times New Roman"/>
          <w:i/>
          <w:iCs/>
          <w:color w:val="222222"/>
          <w:sz w:val="24"/>
          <w:szCs w:val="24"/>
          <w:shd w:val="clear" w:color="auto" w:fill="FFFFFF"/>
        </w:rPr>
        <w:t>International Journal of Sport and Health Science</w:t>
      </w:r>
      <w:r w:rsidRPr="00A318D8">
        <w:rPr>
          <w:rFonts w:ascii="Times New Roman" w:hAnsi="Times New Roman" w:cs="Times New Roman"/>
          <w:color w:val="222222"/>
          <w:sz w:val="24"/>
          <w:szCs w:val="24"/>
          <w:shd w:val="clear" w:color="auto" w:fill="FFFFFF"/>
        </w:rPr>
        <w:t>, </w:t>
      </w:r>
      <w:r w:rsidRPr="00A318D8">
        <w:rPr>
          <w:rFonts w:ascii="Times New Roman" w:hAnsi="Times New Roman" w:cs="Times New Roman"/>
          <w:i/>
          <w:iCs/>
          <w:color w:val="222222"/>
          <w:sz w:val="24"/>
          <w:szCs w:val="24"/>
          <w:shd w:val="clear" w:color="auto" w:fill="FFFFFF"/>
        </w:rPr>
        <w:t>13</w:t>
      </w:r>
      <w:r w:rsidRPr="00A318D8">
        <w:rPr>
          <w:rFonts w:ascii="Times New Roman" w:hAnsi="Times New Roman" w:cs="Times New Roman"/>
          <w:color w:val="222222"/>
          <w:sz w:val="24"/>
          <w:szCs w:val="24"/>
          <w:shd w:val="clear" w:color="auto" w:fill="FFFFFF"/>
        </w:rPr>
        <w:t>, 43-60.</w:t>
      </w:r>
    </w:p>
    <w:p w:rsidR="00CD534E" w:rsidRPr="006722F9" w:rsidP="00A63B99">
      <w:pPr>
        <w:spacing w:after="0" w:line="480" w:lineRule="auto"/>
        <w:ind w:left="720" w:hanging="720"/>
        <w:rPr>
          <w:rFonts w:ascii="Times New Roman" w:hAnsi="Times New Roman" w:cs="Times New Roman"/>
          <w:sz w:val="24"/>
          <w:szCs w:val="24"/>
        </w:rPr>
      </w:pPr>
      <w:r w:rsidRPr="00A318D8">
        <w:rPr>
          <w:rFonts w:ascii="Times New Roman" w:hAnsi="Times New Roman" w:cs="Times New Roman"/>
          <w:color w:val="222222"/>
          <w:sz w:val="24"/>
          <w:szCs w:val="24"/>
          <w:shd w:val="clear" w:color="auto" w:fill="FFFFFF"/>
        </w:rPr>
        <w:t xml:space="preserve">Zamfir, M. V. (2017). Verbal </w:t>
      </w:r>
      <w:r w:rsidRPr="00A318D8" w:rsidR="00CB552B">
        <w:rPr>
          <w:rFonts w:ascii="Times New Roman" w:hAnsi="Times New Roman" w:cs="Times New Roman"/>
          <w:color w:val="222222"/>
          <w:sz w:val="24"/>
          <w:szCs w:val="24"/>
          <w:shd w:val="clear" w:color="auto" w:fill="FFFFFF"/>
        </w:rPr>
        <w:t>and</w:t>
      </w:r>
      <w:r w:rsidRPr="00A318D8">
        <w:rPr>
          <w:rFonts w:ascii="Times New Roman" w:hAnsi="Times New Roman" w:cs="Times New Roman"/>
          <w:color w:val="222222"/>
          <w:sz w:val="24"/>
          <w:szCs w:val="24"/>
          <w:shd w:val="clear" w:color="auto" w:fill="FFFFFF"/>
        </w:rPr>
        <w:t xml:space="preserve"> Non-Verbal Communication </w:t>
      </w:r>
      <w:r w:rsidRPr="00A318D8" w:rsidR="00CB552B">
        <w:rPr>
          <w:rFonts w:ascii="Times New Roman" w:hAnsi="Times New Roman" w:cs="Times New Roman"/>
          <w:color w:val="222222"/>
          <w:sz w:val="24"/>
          <w:szCs w:val="24"/>
          <w:shd w:val="clear" w:color="auto" w:fill="FFFFFF"/>
        </w:rPr>
        <w:t>in</w:t>
      </w:r>
      <w:r w:rsidRPr="00A318D8">
        <w:rPr>
          <w:rFonts w:ascii="Times New Roman" w:hAnsi="Times New Roman" w:cs="Times New Roman"/>
          <w:color w:val="222222"/>
          <w:sz w:val="24"/>
          <w:szCs w:val="24"/>
          <w:shd w:val="clear" w:color="auto" w:fill="FFFFFF"/>
        </w:rPr>
        <w:t xml:space="preserve"> Sport Environment. </w:t>
      </w:r>
      <w:r w:rsidRPr="00A318D8">
        <w:rPr>
          <w:rFonts w:ascii="Times New Roman" w:hAnsi="Times New Roman" w:cs="Times New Roman"/>
          <w:i/>
          <w:iCs/>
          <w:color w:val="222222"/>
          <w:sz w:val="24"/>
          <w:szCs w:val="24"/>
          <w:shd w:val="clear" w:color="auto" w:fill="FFFFFF"/>
        </w:rPr>
        <w:t>Marathon</w:t>
      </w:r>
      <w:r w:rsidRPr="00A318D8">
        <w:rPr>
          <w:rFonts w:ascii="Times New Roman" w:hAnsi="Times New Roman" w:cs="Times New Roman"/>
          <w:color w:val="222222"/>
          <w:sz w:val="24"/>
          <w:szCs w:val="24"/>
          <w:shd w:val="clear" w:color="auto" w:fill="FFFFFF"/>
        </w:rPr>
        <w:t>, </w:t>
      </w:r>
      <w:r w:rsidRPr="00A318D8">
        <w:rPr>
          <w:rFonts w:ascii="Times New Roman" w:hAnsi="Times New Roman" w:cs="Times New Roman"/>
          <w:i/>
          <w:iCs/>
          <w:color w:val="222222"/>
          <w:sz w:val="24"/>
          <w:szCs w:val="24"/>
          <w:shd w:val="clear" w:color="auto" w:fill="FFFFFF"/>
        </w:rPr>
        <w:t>9</w:t>
      </w:r>
      <w:r w:rsidRPr="00A318D8">
        <w:rPr>
          <w:rFonts w:ascii="Times New Roman" w:hAnsi="Times New Roman" w:cs="Times New Roman"/>
          <w:color w:val="222222"/>
          <w:sz w:val="24"/>
          <w:szCs w:val="24"/>
          <w:shd w:val="clear" w:color="auto" w:fill="FFFFFF"/>
        </w:rPr>
        <w:t>(1), 99-106.</w:t>
      </w:r>
    </w:p>
    <w:sectPr w:rsidSect="00CD534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4E" w:rsidRPr="00AE04AF" w:rsidP="00CD534E">
    <w:pPr>
      <w:pStyle w:val="Header"/>
      <w:rPr>
        <w:rFonts w:ascii="Times New Roman" w:hAnsi="Times New Roman" w:cs="Times New Roman"/>
      </w:rPr>
    </w:pPr>
    <w:r w:rsidRPr="00AE04AF">
      <w:rPr>
        <w:rFonts w:ascii="Times New Roman" w:hAnsi="Times New Roman" w:cs="Times New Roman"/>
      </w:rPr>
      <w:t>NONVERBAL COMMUNICATION IN SPORTS</w:t>
    </w:r>
    <w:r w:rsidRPr="00AE04AF">
      <w:rPr>
        <w:rFonts w:ascii="Times New Roman" w:hAnsi="Times New Roman" w:cs="Times New Roman"/>
      </w:rPr>
      <w:tab/>
    </w:r>
    <w:r w:rsidRPr="00AE04AF">
      <w:rPr>
        <w:rFonts w:ascii="Times New Roman" w:hAnsi="Times New Roman" w:cs="Times New Roman"/>
      </w:rPr>
      <w:tab/>
    </w:r>
    <w:r w:rsidRPr="00AE04AF">
      <w:rPr>
        <w:rFonts w:ascii="Times New Roman" w:hAnsi="Times New Roman" w:cs="Times New Roman"/>
      </w:rPr>
      <w:fldChar w:fldCharType="begin"/>
    </w:r>
    <w:r w:rsidRPr="00AE04AF">
      <w:rPr>
        <w:rFonts w:ascii="Times New Roman" w:hAnsi="Times New Roman" w:cs="Times New Roman"/>
      </w:rPr>
      <w:instrText xml:space="preserve"> PAGE   \* MERGEFORMAT </w:instrText>
    </w:r>
    <w:r w:rsidRPr="00AE04AF">
      <w:rPr>
        <w:rFonts w:ascii="Times New Roman" w:hAnsi="Times New Roman" w:cs="Times New Roman"/>
      </w:rPr>
      <w:fldChar w:fldCharType="separate"/>
    </w:r>
    <w:r w:rsidRPr="00AE04AF">
      <w:rPr>
        <w:rFonts w:ascii="Times New Roman" w:hAnsi="Times New Roman" w:cs="Times New Roman"/>
        <w:noProof/>
      </w:rPr>
      <w:t>7</w:t>
    </w:r>
    <w:r w:rsidRPr="00AE04AF">
      <w:rPr>
        <w:rFonts w:ascii="Times New Roman" w:hAnsi="Times New Roman" w:cs="Times New Roman"/>
        <w:noProof/>
      </w:rPr>
      <w:fldChar w:fldCharType="end"/>
    </w:r>
  </w:p>
  <w:p w:rsidR="00CD5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4E" w:rsidRPr="00AE04AF">
    <w:pPr>
      <w:pStyle w:val="Header"/>
      <w:rPr>
        <w:rFonts w:ascii="Times New Roman" w:hAnsi="Times New Roman" w:cs="Times New Roman"/>
      </w:rPr>
    </w:pPr>
    <w:r w:rsidRPr="00AE04AF">
      <w:rPr>
        <w:rFonts w:ascii="Times New Roman" w:hAnsi="Times New Roman" w:cs="Times New Roman"/>
      </w:rPr>
      <w:t>Running head: NONVERBAL COMMUNICATION IN SPORTS</w:t>
    </w:r>
    <w:r w:rsidRPr="00AE04AF">
      <w:rPr>
        <w:rFonts w:ascii="Times New Roman" w:hAnsi="Times New Roman" w:cs="Times New Roman"/>
      </w:rPr>
      <w:tab/>
    </w:r>
    <w:r w:rsidRPr="00AE04AF">
      <w:rPr>
        <w:rFonts w:ascii="Times New Roman" w:hAnsi="Times New Roman" w:cs="Times New Roman"/>
      </w:rPr>
      <w:fldChar w:fldCharType="begin"/>
    </w:r>
    <w:r w:rsidRPr="00AE04AF">
      <w:rPr>
        <w:rFonts w:ascii="Times New Roman" w:hAnsi="Times New Roman" w:cs="Times New Roman"/>
      </w:rPr>
      <w:instrText xml:space="preserve"> PAGE   \* MERGEFORMAT </w:instrText>
    </w:r>
    <w:r w:rsidRPr="00AE04AF">
      <w:rPr>
        <w:rFonts w:ascii="Times New Roman" w:hAnsi="Times New Roman" w:cs="Times New Roman"/>
      </w:rPr>
      <w:fldChar w:fldCharType="separate"/>
    </w:r>
    <w:r w:rsidRPr="00AE04AF">
      <w:rPr>
        <w:rFonts w:ascii="Times New Roman" w:hAnsi="Times New Roman" w:cs="Times New Roman"/>
        <w:noProof/>
      </w:rPr>
      <w:t>1</w:t>
    </w:r>
    <w:r w:rsidRPr="00AE04AF">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AE0701"/>
    <w:rsid w:val="003C3487"/>
    <w:rsid w:val="004D3830"/>
    <w:rsid w:val="006124FA"/>
    <w:rsid w:val="006722F9"/>
    <w:rsid w:val="0069670E"/>
    <w:rsid w:val="00783F47"/>
    <w:rsid w:val="009616DF"/>
    <w:rsid w:val="00A318D8"/>
    <w:rsid w:val="00A63B99"/>
    <w:rsid w:val="00A900CF"/>
    <w:rsid w:val="00AE04AF"/>
    <w:rsid w:val="00AE0701"/>
    <w:rsid w:val="00BD7F3A"/>
    <w:rsid w:val="00CB552B"/>
    <w:rsid w:val="00CB7366"/>
    <w:rsid w:val="00CD534E"/>
    <w:rsid w:val="00D04A55"/>
    <w:rsid w:val="00DD48A1"/>
    <w:rsid w:val="00E43527"/>
    <w:rsid w:val="00F0294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33417E6-DE79-4F97-A2A1-B0B426CFD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34E"/>
  </w:style>
  <w:style w:type="paragraph" w:styleId="Footer">
    <w:name w:val="footer"/>
    <w:basedOn w:val="Normal"/>
    <w:link w:val="FooterChar"/>
    <w:uiPriority w:val="99"/>
    <w:unhideWhenUsed/>
    <w:rsid w:val="00CD5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8</Pages>
  <Words>1714</Words>
  <Characters>9774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2018-11-22T05:42:00Z</dcterms:created>
  <dcterms:modified xsi:type="dcterms:W3CDTF">2018-11-22T12:43:00Z</dcterms:modified>
</cp:coreProperties>
</file>